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bookmarkEnd w:id="0"/>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1"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BA353F" w:rsidRPr="00976F0C">
        <w:rPr>
          <w:rFonts w:ascii="Arial" w:hAnsi="Arial" w:cs="Arial"/>
          <w:color w:val="4BACC6" w:themeColor="accent5"/>
          <w:sz w:val="24"/>
          <w:szCs w:val="24"/>
        </w:rPr>
        <w:t>c</w:t>
      </w:r>
      <w:r w:rsidR="00C0225E">
        <w:rPr>
          <w:rFonts w:ascii="Arial" w:hAnsi="Arial" w:cs="Arial"/>
          <w:color w:val="4BACC6" w:themeColor="accent5"/>
          <w:sz w:val="24"/>
          <w:szCs w:val="24"/>
        </w:rPr>
        <w:t>inco</w:t>
      </w:r>
      <w:r w:rsidR="00BA353F" w:rsidRPr="00976F0C">
        <w:rPr>
          <w:rFonts w:ascii="Arial" w:hAnsi="Arial" w:cs="Arial"/>
          <w:color w:val="4BACC6" w:themeColor="accent5"/>
          <w:sz w:val="24"/>
          <w:szCs w:val="24"/>
        </w:rPr>
        <w:t xml:space="preserve"> de enero 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 xml:space="preserve">rimer lugar, es necesario insertar </w:t>
      </w:r>
      <w:r w:rsidR="00E135A8">
        <w:rPr>
          <w:rFonts w:ascii="Arial" w:hAnsi="Arial" w:cs="Arial"/>
          <w:color w:val="4BACC6" w:themeColor="accent5"/>
          <w:sz w:val="24"/>
          <w:szCs w:val="24"/>
        </w:rPr>
        <w:t>e</w:t>
      </w:r>
      <w:r w:rsidR="002D371A" w:rsidRPr="00976F0C">
        <w:rPr>
          <w:rFonts w:ascii="Arial" w:hAnsi="Arial" w:cs="Arial"/>
          <w:color w:val="4BACC6" w:themeColor="accent5"/>
          <w:sz w:val="24"/>
          <w:szCs w:val="24"/>
        </w:rPr>
        <w:t xml:space="preserve">l </w:t>
      </w:r>
      <w:r w:rsidR="00E135A8">
        <w:rPr>
          <w:rFonts w:ascii="Arial" w:hAnsi="Arial" w:cs="Arial"/>
          <w:color w:val="4BACC6" w:themeColor="accent5"/>
          <w:sz w:val="24"/>
          <w:szCs w:val="24"/>
        </w:rPr>
        <w:t xml:space="preserve">resolutivo </w:t>
      </w:r>
      <w:r w:rsidR="002D371A" w:rsidRPr="00976F0C">
        <w:rPr>
          <w:rFonts w:ascii="Arial" w:hAnsi="Arial" w:cs="Arial"/>
          <w:color w:val="4BACC6" w:themeColor="accent5"/>
          <w:sz w:val="24"/>
          <w:szCs w:val="24"/>
        </w:rPr>
        <w:t xml:space="preserve">dictado en la </w:t>
      </w:r>
      <w:r w:rsidR="00E135A8">
        <w:rPr>
          <w:rFonts w:ascii="Arial" w:hAnsi="Arial" w:cs="Arial"/>
          <w:color w:val="4BACC6" w:themeColor="accent5"/>
          <w:sz w:val="24"/>
          <w:szCs w:val="24"/>
        </w:rPr>
        <w:t>presente determinación:</w:t>
      </w:r>
    </w:p>
    <w:p w:rsidR="00E135A8" w:rsidRPr="00976F0C" w:rsidRDefault="00090736" w:rsidP="00E135A8">
      <w:pPr>
        <w:pStyle w:val="corte4fondo"/>
        <w:tabs>
          <w:tab w:val="left" w:pos="567"/>
        </w:tabs>
        <w:spacing w:line="240" w:lineRule="auto"/>
        <w:rPr>
          <w:rFonts w:cs="Arial"/>
          <w:i/>
          <w:color w:val="4BACC6" w:themeColor="accent5"/>
          <w:sz w:val="20"/>
        </w:rPr>
      </w:pPr>
      <w:r w:rsidRPr="00976F0C">
        <w:rPr>
          <w:rFonts w:cs="Arial"/>
          <w:i/>
          <w:color w:val="4BACC6" w:themeColor="accent5"/>
          <w:sz w:val="20"/>
        </w:rPr>
        <w:t>“…</w:t>
      </w:r>
      <w:r w:rsidR="00E135A8">
        <w:rPr>
          <w:rFonts w:cs="Arial"/>
          <w:b/>
          <w:i/>
          <w:color w:val="4BACC6" w:themeColor="accent5"/>
          <w:sz w:val="20"/>
        </w:rPr>
        <w:t>Ú</w:t>
      </w:r>
      <w:r w:rsidR="00E135A8" w:rsidRPr="00E135A8">
        <w:rPr>
          <w:rFonts w:cs="Arial"/>
          <w:b/>
          <w:i/>
          <w:color w:val="4BACC6" w:themeColor="accent5"/>
          <w:sz w:val="20"/>
        </w:rPr>
        <w:t>NICO.</w:t>
      </w:r>
      <w:r w:rsidR="00E135A8">
        <w:rPr>
          <w:rFonts w:cs="Arial"/>
          <w:i/>
          <w:color w:val="4BACC6" w:themeColor="accent5"/>
          <w:sz w:val="20"/>
        </w:rPr>
        <w:t xml:space="preserve"> Esta Comisión Estatal de Garantía de Acceso a la Información Pública </w:t>
      </w:r>
      <w:r w:rsidR="00E135A8" w:rsidRPr="00E135A8">
        <w:rPr>
          <w:rFonts w:cs="Arial"/>
          <w:b/>
          <w:i/>
          <w:color w:val="4BACC6" w:themeColor="accent5"/>
          <w:sz w:val="20"/>
        </w:rPr>
        <w:t>modifica el acto impugnado</w:t>
      </w:r>
      <w:r w:rsidR="00E135A8">
        <w:rPr>
          <w:rFonts w:cs="Arial"/>
          <w:i/>
          <w:color w:val="4BACC6" w:themeColor="accent5"/>
          <w:sz w:val="20"/>
        </w:rPr>
        <w:t xml:space="preserve"> por los fundamentos y las razones desarrolladas en el considerando séptimo de la presente resolución.”</w:t>
      </w:r>
    </w:p>
    <w:p w:rsidR="003047E5" w:rsidRPr="00976F0C" w:rsidRDefault="0039642A" w:rsidP="00E135A8">
      <w:pPr>
        <w:pStyle w:val="corte4fondo"/>
        <w:tabs>
          <w:tab w:val="left" w:pos="567"/>
        </w:tabs>
        <w:spacing w:line="240" w:lineRule="auto"/>
        <w:ind w:firstLine="0"/>
        <w:rPr>
          <w:rFonts w:cs="Arial"/>
          <w:i/>
          <w:color w:val="4BACC6" w:themeColor="accent5"/>
          <w:sz w:val="18"/>
          <w:szCs w:val="18"/>
        </w:rPr>
      </w:pPr>
      <w:r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E135A8">
        <w:rPr>
          <w:rFonts w:ascii="Arial" w:hAnsi="Arial" w:cs="Arial"/>
          <w:color w:val="4BACC6" w:themeColor="accent5"/>
          <w:sz w:val="24"/>
          <w:szCs w:val="24"/>
        </w:rPr>
        <w:t xml:space="preserve">oficio OM/UT-182/2017 </w:t>
      </w:r>
      <w:r w:rsidR="00ED382A" w:rsidRPr="00976F0C">
        <w:rPr>
          <w:rFonts w:ascii="Arial" w:hAnsi="Arial" w:cs="Arial"/>
          <w:color w:val="4BACC6" w:themeColor="accent5"/>
          <w:sz w:val="24"/>
          <w:szCs w:val="24"/>
        </w:rPr>
        <w:t xml:space="preserve">signado por el </w:t>
      </w:r>
      <w:proofErr w:type="gramStart"/>
      <w:r w:rsidR="00E135A8">
        <w:rPr>
          <w:rFonts w:ascii="Arial" w:hAnsi="Arial" w:cs="Arial"/>
          <w:color w:val="4BACC6" w:themeColor="accent5"/>
          <w:sz w:val="24"/>
          <w:szCs w:val="24"/>
        </w:rPr>
        <w:t>Jefe</w:t>
      </w:r>
      <w:proofErr w:type="gramEnd"/>
      <w:r w:rsidR="00E135A8">
        <w:rPr>
          <w:rFonts w:ascii="Arial" w:hAnsi="Arial" w:cs="Arial"/>
          <w:color w:val="4BACC6" w:themeColor="accent5"/>
          <w:sz w:val="24"/>
          <w:szCs w:val="24"/>
        </w:rPr>
        <w:t xml:space="preserve"> de la </w:t>
      </w:r>
      <w:r w:rsidR="00ED382A" w:rsidRPr="00976F0C">
        <w:rPr>
          <w:rFonts w:ascii="Arial" w:hAnsi="Arial" w:cs="Arial"/>
          <w:color w:val="4BACC6" w:themeColor="accent5"/>
          <w:sz w:val="24"/>
          <w:szCs w:val="24"/>
        </w:rPr>
        <w:t>Unidad de Transparencia de</w:t>
      </w:r>
      <w:r w:rsidR="00E135A8">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l</w:t>
      </w:r>
      <w:r w:rsidR="00E135A8">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w:t>
      </w:r>
      <w:r w:rsidR="00E135A8">
        <w:rPr>
          <w:rFonts w:ascii="Arial" w:hAnsi="Arial" w:cs="Arial"/>
          <w:color w:val="4BACC6" w:themeColor="accent5"/>
          <w:sz w:val="24"/>
          <w:szCs w:val="24"/>
        </w:rPr>
        <w:t>Oficialía Mayor del Poder Ejecutivo del Estado</w:t>
      </w:r>
      <w:r w:rsidR="00ED382A" w:rsidRPr="00976F0C">
        <w:rPr>
          <w:rFonts w:ascii="Arial" w:hAnsi="Arial" w:cs="Arial"/>
          <w:color w:val="4BACC6" w:themeColor="accent5"/>
          <w:sz w:val="24"/>
          <w:szCs w:val="24"/>
        </w:rPr>
        <w:t xml:space="preserve">, </w:t>
      </w:r>
      <w:r w:rsidR="00352A7B" w:rsidRPr="00976F0C">
        <w:rPr>
          <w:rFonts w:ascii="Arial" w:hAnsi="Arial" w:cs="Arial"/>
          <w:color w:val="4BACC6" w:themeColor="accent5"/>
          <w:sz w:val="24"/>
          <w:szCs w:val="24"/>
        </w:rPr>
        <w:t xml:space="preserve">de </w:t>
      </w:r>
      <w:r w:rsidRPr="00976F0C">
        <w:rPr>
          <w:rFonts w:ascii="Arial" w:hAnsi="Arial" w:cs="Arial"/>
          <w:color w:val="4BACC6" w:themeColor="accent5"/>
          <w:sz w:val="24"/>
          <w:szCs w:val="24"/>
        </w:rPr>
        <w:t>fecha</w:t>
      </w:r>
      <w:r w:rsidR="00D11CA5" w:rsidRPr="00976F0C">
        <w:rPr>
          <w:rFonts w:ascii="Arial" w:hAnsi="Arial" w:cs="Arial"/>
          <w:color w:val="4BACC6" w:themeColor="accent5"/>
          <w:sz w:val="24"/>
          <w:szCs w:val="24"/>
        </w:rPr>
        <w:t xml:space="preserve"> </w:t>
      </w:r>
      <w:r w:rsidR="00E135A8">
        <w:rPr>
          <w:rFonts w:ascii="Arial" w:hAnsi="Arial" w:cs="Arial"/>
          <w:color w:val="4BACC6" w:themeColor="accent5"/>
          <w:sz w:val="24"/>
          <w:szCs w:val="24"/>
        </w:rPr>
        <w:t>ocho de agosto</w:t>
      </w:r>
      <w:r w:rsidR="00ED382A" w:rsidRPr="00976F0C">
        <w:rPr>
          <w:rFonts w:ascii="Arial" w:hAnsi="Arial" w:cs="Arial"/>
          <w:color w:val="4BACC6" w:themeColor="accent5"/>
          <w:sz w:val="24"/>
          <w:szCs w:val="24"/>
        </w:rPr>
        <w:t xml:space="preserve"> de dos </w:t>
      </w:r>
      <w:r w:rsidR="002231D3" w:rsidRPr="00976F0C">
        <w:rPr>
          <w:rFonts w:ascii="Arial" w:hAnsi="Arial" w:cs="Arial"/>
          <w:color w:val="4BACC6" w:themeColor="accent5"/>
          <w:sz w:val="24"/>
          <w:szCs w:val="24"/>
        </w:rPr>
        <w:t>mil diecisiete</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un anexo,</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976F0C" w:rsidRDefault="00E12808" w:rsidP="00976F0C">
      <w:pPr>
        <w:spacing w:after="0" w:line="240" w:lineRule="auto"/>
        <w:ind w:firstLine="708"/>
        <w:jc w:val="both"/>
        <w:rPr>
          <w:rFonts w:ascii="Arial" w:hAnsi="Arial" w:cs="Arial"/>
          <w:i/>
          <w:color w:val="4BACC6" w:themeColor="accent5"/>
        </w:rPr>
      </w:pPr>
      <w:r w:rsidRPr="00976F0C">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E135A8">
        <w:rPr>
          <w:rFonts w:ascii="Arial" w:hAnsi="Arial" w:cs="Arial"/>
          <w:i/>
          <w:color w:val="4BACC6" w:themeColor="accent5"/>
        </w:rPr>
        <w:t xml:space="preserve">me permito enviara Usted, copia simple del acuse de envió </w:t>
      </w:r>
      <w:r w:rsidR="00E621C8">
        <w:rPr>
          <w:rFonts w:ascii="Arial" w:hAnsi="Arial" w:cs="Arial"/>
          <w:i/>
          <w:color w:val="4BACC6" w:themeColor="accent5"/>
        </w:rPr>
        <w:t>de correo electrónico efectuado desde la cuenta institucional de esta Unidad de Transparencia y cuyo destinatario es el correo electrónico proporcionado por el C. TRIBUNO DE LOS PLEBES, en el que se envía de manera digital la información relativa al punto 8.2.1 de dicha resolución, cumpliendo cabalmente con la misma.”</w:t>
      </w:r>
      <w:r w:rsidR="001C77AA" w:rsidRPr="00976F0C">
        <w:rPr>
          <w:rFonts w:ascii="Arial" w:hAnsi="Arial" w:cs="Arial"/>
          <w:i/>
          <w:color w:val="4BACC6" w:themeColor="accent5"/>
        </w:rPr>
        <w:t xml:space="preserve"> </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E621C8">
        <w:rPr>
          <w:rFonts w:cs="Arial"/>
          <w:color w:val="4BACC6" w:themeColor="accent5"/>
          <w:sz w:val="24"/>
          <w:szCs w:val="24"/>
        </w:rPr>
        <w:t>56</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E621C8">
        <w:rPr>
          <w:rFonts w:cs="Arial"/>
          <w:color w:val="4BACC6" w:themeColor="accent5"/>
          <w:sz w:val="24"/>
          <w:szCs w:val="24"/>
        </w:rPr>
        <w:t>57</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523D76" w:rsidRPr="00976F0C" w:rsidRDefault="00AF0D89" w:rsidP="00523D76">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D11CA5" w:rsidRPr="00976F0C">
        <w:rPr>
          <w:rFonts w:cs="Arial"/>
          <w:color w:val="4BACC6" w:themeColor="accent5"/>
          <w:sz w:val="24"/>
          <w:szCs w:val="24"/>
        </w:rPr>
        <w:t xml:space="preserve">el sujeto obligado </w:t>
      </w:r>
      <w:r w:rsidRPr="00976F0C">
        <w:rPr>
          <w:rFonts w:cs="Arial"/>
          <w:color w:val="4BACC6" w:themeColor="accent5"/>
          <w:sz w:val="24"/>
          <w:szCs w:val="24"/>
        </w:rPr>
        <w:t xml:space="preserve">no acredita </w:t>
      </w:r>
      <w:r w:rsidR="000B7F7D" w:rsidRPr="00976F0C">
        <w:rPr>
          <w:rFonts w:cs="Arial"/>
          <w:color w:val="4BACC6" w:themeColor="accent5"/>
          <w:sz w:val="24"/>
          <w:szCs w:val="24"/>
        </w:rPr>
        <w:t>la</w:t>
      </w:r>
      <w:r w:rsidR="00E621C8">
        <w:rPr>
          <w:rFonts w:cs="Arial"/>
          <w:color w:val="4BACC6" w:themeColor="accent5"/>
          <w:sz w:val="24"/>
          <w:szCs w:val="24"/>
        </w:rPr>
        <w:t>s</w:t>
      </w:r>
      <w:r w:rsidR="000B7F7D" w:rsidRPr="00976F0C">
        <w:rPr>
          <w:rFonts w:cs="Arial"/>
          <w:color w:val="4BACC6" w:themeColor="accent5"/>
          <w:sz w:val="24"/>
          <w:szCs w:val="24"/>
        </w:rPr>
        <w:t xml:space="preserve"> constancia</w:t>
      </w:r>
      <w:r w:rsidR="00E621C8">
        <w:rPr>
          <w:rFonts w:cs="Arial"/>
          <w:color w:val="4BACC6" w:themeColor="accent5"/>
          <w:sz w:val="24"/>
          <w:szCs w:val="24"/>
        </w:rPr>
        <w:t>s</w:t>
      </w:r>
      <w:r w:rsidR="000B7F7D" w:rsidRPr="00976F0C">
        <w:rPr>
          <w:rFonts w:cs="Arial"/>
          <w:color w:val="4BACC6" w:themeColor="accent5"/>
          <w:sz w:val="24"/>
          <w:szCs w:val="24"/>
        </w:rPr>
        <w:t xml:space="preserve"> </w:t>
      </w:r>
      <w:r w:rsidR="00FE5A4C" w:rsidRPr="00976F0C">
        <w:rPr>
          <w:rFonts w:cs="Arial"/>
          <w:color w:val="4BACC6" w:themeColor="accent5"/>
          <w:sz w:val="24"/>
          <w:szCs w:val="24"/>
        </w:rPr>
        <w:t xml:space="preserve">que </w:t>
      </w:r>
      <w:r w:rsidRPr="00976F0C">
        <w:rPr>
          <w:rFonts w:cs="Arial"/>
          <w:color w:val="4BACC6" w:themeColor="accent5"/>
          <w:sz w:val="24"/>
          <w:szCs w:val="24"/>
        </w:rPr>
        <w:t xml:space="preserve">remitió esté </w:t>
      </w:r>
      <w:r w:rsidR="000B7F7D" w:rsidRPr="00976F0C">
        <w:rPr>
          <w:rFonts w:cs="Arial"/>
          <w:color w:val="4BACC6" w:themeColor="accent5"/>
          <w:sz w:val="24"/>
          <w:szCs w:val="24"/>
        </w:rPr>
        <w:t>al recurrente</w:t>
      </w:r>
      <w:r w:rsidR="00427953">
        <w:rPr>
          <w:rFonts w:cs="Arial"/>
          <w:color w:val="4BACC6" w:themeColor="accent5"/>
          <w:sz w:val="24"/>
          <w:szCs w:val="24"/>
        </w:rPr>
        <w:t xml:space="preserve">, toda vez que solo envió </w:t>
      </w:r>
      <w:r w:rsidR="000B7F7D" w:rsidRPr="00976F0C">
        <w:rPr>
          <w:rFonts w:cs="Arial"/>
          <w:color w:val="4BACC6" w:themeColor="accent5"/>
          <w:sz w:val="24"/>
          <w:szCs w:val="24"/>
        </w:rPr>
        <w:t xml:space="preserve">por </w:t>
      </w:r>
      <w:r w:rsidR="00FE5A4C" w:rsidRPr="00976F0C">
        <w:rPr>
          <w:rFonts w:cs="Arial"/>
          <w:color w:val="4BACC6" w:themeColor="accent5"/>
          <w:sz w:val="24"/>
          <w:szCs w:val="24"/>
        </w:rPr>
        <w:t>correo electrónico</w:t>
      </w:r>
      <w:r w:rsidR="000B7F7D" w:rsidRPr="00976F0C">
        <w:rPr>
          <w:rFonts w:cs="Arial"/>
          <w:color w:val="4BACC6" w:themeColor="accent5"/>
          <w:sz w:val="24"/>
          <w:szCs w:val="24"/>
        </w:rPr>
        <w:t xml:space="preserve"> en formato electrónico </w:t>
      </w:r>
      <w:r w:rsidR="00FE5A4C" w:rsidRPr="00976F0C">
        <w:rPr>
          <w:rFonts w:cs="Arial"/>
          <w:color w:val="4BACC6" w:themeColor="accent5"/>
          <w:sz w:val="24"/>
          <w:szCs w:val="24"/>
        </w:rPr>
        <w:t>la información que se ha estudiado</w:t>
      </w:r>
      <w:r w:rsidR="000B7F7D" w:rsidRPr="00976F0C">
        <w:rPr>
          <w:rFonts w:cs="Arial"/>
          <w:color w:val="4BACC6" w:themeColor="accent5"/>
          <w:sz w:val="24"/>
          <w:szCs w:val="24"/>
        </w:rPr>
        <w:t xml:space="preserve"> </w:t>
      </w:r>
      <w:r w:rsidR="00427953">
        <w:rPr>
          <w:rFonts w:cs="Arial"/>
          <w:color w:val="4BACC6" w:themeColor="accent5"/>
          <w:sz w:val="24"/>
          <w:szCs w:val="24"/>
        </w:rPr>
        <w:t xml:space="preserve">y no remite a este órgano colegiado las constancias para su estudio y así dar cabal cumplimiento a la resolución de mérito, </w:t>
      </w:r>
      <w:r w:rsidR="00523D76" w:rsidRPr="00976F0C">
        <w:rPr>
          <w:rFonts w:cs="Arial"/>
          <w:color w:val="4BACC6" w:themeColor="accent5"/>
          <w:sz w:val="24"/>
          <w:szCs w:val="24"/>
        </w:rPr>
        <w:t xml:space="preserve">de acuerdo a lo </w:t>
      </w:r>
      <w:r w:rsidR="00FE5A4C" w:rsidRPr="00976F0C">
        <w:rPr>
          <w:rFonts w:cs="Arial"/>
          <w:color w:val="4BACC6" w:themeColor="accent5"/>
          <w:sz w:val="24"/>
          <w:szCs w:val="24"/>
        </w:rPr>
        <w:t xml:space="preserve">contenido </w:t>
      </w:r>
      <w:r w:rsidR="00523D76" w:rsidRPr="00976F0C">
        <w:rPr>
          <w:rFonts w:cs="Arial"/>
          <w:color w:val="4BACC6" w:themeColor="accent5"/>
          <w:sz w:val="24"/>
          <w:szCs w:val="24"/>
        </w:rPr>
        <w:t>en el artículo</w:t>
      </w:r>
      <w:r w:rsidR="00813BA7" w:rsidRPr="00976F0C">
        <w:rPr>
          <w:rFonts w:cs="Arial"/>
          <w:color w:val="4BACC6" w:themeColor="accent5"/>
          <w:sz w:val="24"/>
          <w:szCs w:val="24"/>
        </w:rPr>
        <w:t xml:space="preserve"> 18</w:t>
      </w:r>
      <w:r w:rsidR="00427953">
        <w:rPr>
          <w:rFonts w:cs="Arial"/>
          <w:color w:val="4BACC6" w:themeColor="accent5"/>
          <w:sz w:val="24"/>
          <w:szCs w:val="24"/>
        </w:rPr>
        <w:t>4</w:t>
      </w:r>
      <w:r w:rsidR="00813BA7" w:rsidRPr="00976F0C">
        <w:rPr>
          <w:rFonts w:cs="Arial"/>
          <w:color w:val="4BACC6" w:themeColor="accent5"/>
          <w:sz w:val="24"/>
          <w:szCs w:val="24"/>
        </w:rPr>
        <w:t xml:space="preserve"> </w:t>
      </w:r>
      <w:r w:rsidR="00523D76" w:rsidRPr="00976F0C">
        <w:rPr>
          <w:rFonts w:cs="Arial"/>
          <w:color w:val="4BACC6" w:themeColor="accent5"/>
          <w:sz w:val="24"/>
          <w:szCs w:val="24"/>
        </w:rPr>
        <w:t xml:space="preserve">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E621C8" w:rsidRPr="00E621C8" w:rsidRDefault="00523D76" w:rsidP="008478C1">
      <w:pPr>
        <w:spacing w:line="360" w:lineRule="auto"/>
        <w:ind w:left="-5" w:firstLine="713"/>
        <w:jc w:val="both"/>
        <w:rPr>
          <w:rFonts w:ascii="Arial" w:eastAsia="Arial" w:hAnsi="Arial" w:cs="Arial"/>
          <w:i/>
          <w:color w:val="4BACC6" w:themeColor="accent5"/>
          <w:sz w:val="20"/>
          <w:szCs w:val="20"/>
        </w:rPr>
      </w:pPr>
      <w:r w:rsidRPr="00E621C8">
        <w:rPr>
          <w:rFonts w:ascii="Arial" w:hAnsi="Arial" w:cs="Arial"/>
          <w:i/>
          <w:color w:val="4BACC6" w:themeColor="accent5"/>
          <w:sz w:val="20"/>
          <w:szCs w:val="20"/>
        </w:rPr>
        <w:lastRenderedPageBreak/>
        <w:t>“</w:t>
      </w:r>
      <w:r w:rsidR="00E621C8" w:rsidRPr="00E621C8">
        <w:rPr>
          <w:rFonts w:ascii="Arial" w:hAnsi="Arial" w:cs="Arial"/>
          <w:b/>
          <w:i/>
          <w:color w:val="4BACC6" w:themeColor="accent5"/>
          <w:sz w:val="20"/>
          <w:szCs w:val="20"/>
        </w:rPr>
        <w:t>ARTÍCULO 184.</w:t>
      </w:r>
      <w:r w:rsidR="00E621C8" w:rsidRPr="00E621C8">
        <w:rPr>
          <w:rFonts w:ascii="Arial" w:hAnsi="Arial" w:cs="Arial"/>
          <w:i/>
          <w:color w:val="4BACC6" w:themeColor="accent5"/>
          <w:sz w:val="20"/>
          <w:szCs w:val="20"/>
        </w:rPr>
        <w:t xml:space="preserve"> Transcurrido el plazo señalado en el artículo anterior, el sujeto obligado deberá informar a la CEGAIP sobre el cumplimento de la resolución.</w:t>
      </w:r>
    </w:p>
    <w:p w:rsidR="0039642A" w:rsidRDefault="00E621C8" w:rsidP="008478C1">
      <w:pPr>
        <w:spacing w:line="360" w:lineRule="auto"/>
        <w:ind w:left="-5" w:firstLine="713"/>
        <w:jc w:val="both"/>
        <w:rPr>
          <w:rFonts w:ascii="Arial" w:hAnsi="Arial" w:cs="Arial"/>
          <w:i/>
          <w:color w:val="4BACC6" w:themeColor="accent5"/>
          <w:sz w:val="20"/>
          <w:szCs w:val="20"/>
        </w:rPr>
      </w:pPr>
      <w:r w:rsidRPr="00E621C8">
        <w:rPr>
          <w:rFonts w:ascii="Arial" w:hAnsi="Arial" w:cs="Arial"/>
          <w:i/>
          <w:color w:val="4BACC6" w:themeColor="accent5"/>
          <w:sz w:val="20"/>
          <w:szCs w:val="20"/>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r w:rsidR="00427953">
        <w:rPr>
          <w:rFonts w:ascii="Arial" w:hAnsi="Arial" w:cs="Arial"/>
          <w:i/>
          <w:color w:val="4BACC6" w:themeColor="accent5"/>
          <w:sz w:val="20"/>
          <w:szCs w:val="20"/>
        </w:rPr>
        <w:t>”</w:t>
      </w:r>
    </w:p>
    <w:p w:rsidR="00427953" w:rsidRPr="00427953" w:rsidRDefault="00427953" w:rsidP="00427953">
      <w:pPr>
        <w:ind w:left="-5" w:firstLine="713"/>
        <w:jc w:val="both"/>
        <w:rPr>
          <w:rFonts w:ascii="Arial" w:hAnsi="Arial" w:cs="Arial"/>
          <w:i/>
          <w:color w:val="4BACC6" w:themeColor="accent5"/>
          <w:sz w:val="20"/>
          <w:szCs w:val="20"/>
        </w:rPr>
      </w:pPr>
    </w:p>
    <w:p w:rsidR="006569DD" w:rsidRPr="00976F0C" w:rsidRDefault="00523D76" w:rsidP="006569DD">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obligado no se desprende </w:t>
      </w:r>
      <w:r w:rsidR="00571B19" w:rsidRPr="00976F0C">
        <w:rPr>
          <w:rFonts w:cs="Arial"/>
          <w:color w:val="4BACC6" w:themeColor="accent5"/>
          <w:sz w:val="24"/>
          <w:szCs w:val="24"/>
        </w:rPr>
        <w:t xml:space="preserve">que haya constancia alguna a fin de </w:t>
      </w:r>
      <w:r w:rsidR="00427953">
        <w:rPr>
          <w:rFonts w:cs="Arial"/>
          <w:color w:val="4BACC6" w:themeColor="accent5"/>
          <w:sz w:val="24"/>
          <w:szCs w:val="24"/>
        </w:rPr>
        <w:t>estudiar la calidad de información remitida al recurrente</w:t>
      </w:r>
      <w:r w:rsidR="001E317B" w:rsidRPr="00976F0C">
        <w:rPr>
          <w:rFonts w:cs="Arial"/>
          <w:color w:val="4BACC6" w:themeColor="accent5"/>
          <w:sz w:val="24"/>
          <w:szCs w:val="24"/>
        </w:rPr>
        <w:t xml:space="preserve">, </w:t>
      </w:r>
      <w:r w:rsidR="00571B19" w:rsidRPr="00976F0C">
        <w:rPr>
          <w:rFonts w:cs="Arial"/>
          <w:color w:val="4BACC6" w:themeColor="accent5"/>
          <w:sz w:val="24"/>
          <w:szCs w:val="24"/>
        </w:rPr>
        <w:t xml:space="preserve">lo cual no es </w:t>
      </w:r>
      <w:r w:rsidR="001E317B" w:rsidRPr="00976F0C">
        <w:rPr>
          <w:rFonts w:cs="Arial"/>
          <w:color w:val="4BACC6" w:themeColor="accent5"/>
          <w:sz w:val="24"/>
          <w:szCs w:val="24"/>
        </w:rPr>
        <w:t>suficiente para colmar los extremos fijados en la resolución de mérito</w:t>
      </w:r>
      <w:r w:rsidR="00D21862" w:rsidRPr="00976F0C">
        <w:rPr>
          <w:rFonts w:cs="Arial"/>
          <w:color w:val="4BACC6" w:themeColor="accent5"/>
          <w:sz w:val="24"/>
          <w:szCs w:val="24"/>
        </w:rPr>
        <w:t xml:space="preserve"> </w:t>
      </w:r>
      <w:r w:rsidR="001E317B" w:rsidRPr="00976F0C">
        <w:rPr>
          <w:rFonts w:cs="Arial"/>
          <w:color w:val="4BACC6" w:themeColor="accent5"/>
          <w:sz w:val="24"/>
          <w:szCs w:val="24"/>
        </w:rPr>
        <w:t xml:space="preserve">y </w:t>
      </w:r>
      <w:r w:rsidR="00695310" w:rsidRPr="00976F0C">
        <w:rPr>
          <w:rFonts w:cs="Arial"/>
          <w:color w:val="4BACC6" w:themeColor="accent5"/>
          <w:sz w:val="24"/>
          <w:szCs w:val="24"/>
        </w:rPr>
        <w:t>p</w:t>
      </w:r>
      <w:r w:rsidR="00426890" w:rsidRPr="00976F0C">
        <w:rPr>
          <w:rFonts w:cs="Arial"/>
          <w:color w:val="4BACC6" w:themeColor="accent5"/>
          <w:sz w:val="24"/>
          <w:szCs w:val="24"/>
        </w:rPr>
        <w:t xml:space="preserve">or tanto se encuentra </w:t>
      </w:r>
      <w:r w:rsidR="00571B19" w:rsidRPr="00976F0C">
        <w:rPr>
          <w:rFonts w:cs="Arial"/>
          <w:color w:val="4BACC6" w:themeColor="accent5"/>
          <w:sz w:val="24"/>
          <w:szCs w:val="24"/>
        </w:rPr>
        <w:t>incumplida</w:t>
      </w:r>
      <w:r w:rsidR="006569DD" w:rsidRPr="00976F0C">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left="708" w:firstLine="709"/>
        <w:jc w:val="both"/>
        <w:rPr>
          <w:rFonts w:ascii="Arial" w:hAnsi="Arial" w:cs="Arial"/>
          <w:i/>
          <w:color w:val="4BACC6" w:themeColor="accent5"/>
          <w:sz w:val="20"/>
          <w:szCs w:val="20"/>
        </w:rPr>
      </w:pPr>
      <w:r w:rsidRPr="00976F0C">
        <w:rPr>
          <w:rFonts w:ascii="Arial" w:hAnsi="Arial" w:cs="Arial"/>
          <w:i/>
          <w:color w:val="4BACC6" w:themeColor="accent5"/>
          <w:sz w:val="20"/>
          <w:szCs w:val="20"/>
        </w:rPr>
        <w:t>“ARTÍCULO 58. Las unidades de transparencia acatarán las resoluciones, 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Pr="008478C1" w:rsidRDefault="005C7BA1" w:rsidP="008478C1">
      <w:pPr>
        <w:spacing w:after="0" w:line="360" w:lineRule="auto"/>
        <w:ind w:firstLine="709"/>
        <w:jc w:val="both"/>
        <w:rPr>
          <w:rFonts w:ascii="Arial" w:hAnsi="Arial" w:cs="Arial"/>
          <w:b/>
          <w:color w:val="4BACC6" w:themeColor="accent5"/>
          <w:sz w:val="24"/>
          <w:szCs w:val="24"/>
        </w:rPr>
      </w:pPr>
      <w:r w:rsidRPr="00976F0C">
        <w:rPr>
          <w:rFonts w:ascii="Arial" w:hAnsi="Arial" w:cs="Arial"/>
          <w:color w:val="4BACC6" w:themeColor="accent5"/>
          <w:sz w:val="24"/>
          <w:szCs w:val="24"/>
        </w:rPr>
        <w:t xml:space="preserve">Se requiere al </w:t>
      </w:r>
      <w:r w:rsidR="00427953">
        <w:rPr>
          <w:rFonts w:ascii="Arial" w:hAnsi="Arial" w:cs="Arial"/>
          <w:b/>
          <w:color w:val="4BACC6" w:themeColor="accent5"/>
          <w:sz w:val="24"/>
          <w:szCs w:val="24"/>
        </w:rPr>
        <w:t xml:space="preserve">Titular de la Oficialía Mayor de Gobierno del Estado </w:t>
      </w:r>
      <w:r w:rsidR="00922275"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Pr="00976F0C">
        <w:rPr>
          <w:rFonts w:ascii="Arial" w:hAnsi="Arial" w:cs="Arial"/>
          <w:b/>
          <w:color w:val="4BACC6" w:themeColor="accent5"/>
          <w:sz w:val="24"/>
          <w:szCs w:val="24"/>
        </w:rPr>
        <w:t>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de</w:t>
      </w:r>
      <w:r w:rsidR="00427953">
        <w:rPr>
          <w:rFonts w:ascii="Arial" w:hAnsi="Arial" w:cs="Arial"/>
          <w:b/>
          <w:color w:val="4BACC6" w:themeColor="accent5"/>
          <w:sz w:val="24"/>
          <w:szCs w:val="24"/>
        </w:rPr>
        <w:t xml:space="preserve"> </w:t>
      </w:r>
      <w:r w:rsidR="00090736" w:rsidRPr="00976F0C">
        <w:rPr>
          <w:rFonts w:ascii="Arial" w:hAnsi="Arial" w:cs="Arial"/>
          <w:b/>
          <w:color w:val="4BACC6" w:themeColor="accent5"/>
          <w:sz w:val="24"/>
          <w:szCs w:val="24"/>
        </w:rPr>
        <w:t>l</w:t>
      </w:r>
      <w:r w:rsidR="00427953">
        <w:rPr>
          <w:rFonts w:ascii="Arial" w:hAnsi="Arial" w:cs="Arial"/>
          <w:b/>
          <w:color w:val="4BACC6" w:themeColor="accent5"/>
          <w:sz w:val="24"/>
          <w:szCs w:val="24"/>
        </w:rPr>
        <w:t>a</w:t>
      </w:r>
      <w:r w:rsidR="00090736" w:rsidRPr="00976F0C">
        <w:rPr>
          <w:rFonts w:ascii="Arial" w:hAnsi="Arial" w:cs="Arial"/>
          <w:b/>
          <w:color w:val="4BACC6" w:themeColor="accent5"/>
          <w:sz w:val="24"/>
          <w:szCs w:val="24"/>
        </w:rPr>
        <w:t xml:space="preserve"> </w:t>
      </w:r>
      <w:r w:rsidR="00427953">
        <w:rPr>
          <w:rFonts w:ascii="Arial" w:hAnsi="Arial" w:cs="Arial"/>
          <w:b/>
          <w:color w:val="4BACC6" w:themeColor="accent5"/>
          <w:sz w:val="24"/>
          <w:szCs w:val="24"/>
        </w:rPr>
        <w:t xml:space="preserve">Oficialía Mayor de Gobierno del Estado </w:t>
      </w:r>
      <w:r w:rsidR="008478C1">
        <w:rPr>
          <w:rFonts w:ascii="Arial" w:hAnsi="Arial" w:cs="Arial"/>
          <w:b/>
          <w:color w:val="4BACC6" w:themeColor="accent5"/>
          <w:sz w:val="24"/>
          <w:szCs w:val="24"/>
        </w:rPr>
        <w:t>de</w:t>
      </w:r>
      <w:r w:rsidR="00090736" w:rsidRPr="00976F0C">
        <w:rPr>
          <w:rFonts w:ascii="Arial" w:hAnsi="Arial" w:cs="Arial"/>
          <w:b/>
          <w:color w:val="4BACC6" w:themeColor="accent5"/>
          <w:sz w:val="24"/>
          <w:szCs w:val="24"/>
        </w:rPr>
        <w:t xml:space="preserve"> San Luis Potosí</w:t>
      </w:r>
      <w:r w:rsidRPr="00976F0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w:t>
      </w:r>
      <w:r w:rsidRPr="00976F0C">
        <w:rPr>
          <w:rFonts w:ascii="Arial" w:hAnsi="Arial" w:cs="Arial"/>
          <w:color w:val="4BACC6" w:themeColor="accent5"/>
          <w:sz w:val="24"/>
          <w:szCs w:val="24"/>
        </w:rPr>
        <w:lastRenderedPageBreak/>
        <w:t xml:space="preserve">las instrucciones necesarias para que se otorgue el debido cumplimiento a la resolución dictada en el </w:t>
      </w:r>
      <w:r w:rsidRPr="00976F0C">
        <w:rPr>
          <w:rFonts w:ascii="Arial" w:hAnsi="Arial" w:cs="Arial"/>
          <w:b/>
          <w:color w:val="4BACC6" w:themeColor="accent5"/>
          <w:sz w:val="24"/>
          <w:szCs w:val="24"/>
        </w:rPr>
        <w:t xml:space="preserve">recurso de revisión </w:t>
      </w:r>
      <w:r w:rsidR="008478C1">
        <w:rPr>
          <w:rFonts w:ascii="Arial" w:hAnsi="Arial" w:cs="Arial"/>
          <w:b/>
          <w:color w:val="4BACC6" w:themeColor="accent5"/>
          <w:sz w:val="24"/>
          <w:szCs w:val="24"/>
        </w:rPr>
        <w:t>196</w:t>
      </w:r>
      <w:r w:rsidRPr="00976F0C">
        <w:rPr>
          <w:rFonts w:ascii="Arial" w:hAnsi="Arial" w:cs="Arial"/>
          <w:b/>
          <w:color w:val="4BACC6" w:themeColor="accent5"/>
          <w:sz w:val="24"/>
          <w:szCs w:val="24"/>
        </w:rPr>
        <w:t>/201</w:t>
      </w:r>
      <w:r w:rsidR="008478C1">
        <w:rPr>
          <w:rFonts w:ascii="Arial" w:hAnsi="Arial" w:cs="Arial"/>
          <w:b/>
          <w:color w:val="4BACC6" w:themeColor="accent5"/>
          <w:sz w:val="24"/>
          <w:szCs w:val="24"/>
        </w:rPr>
        <w:t>7</w:t>
      </w:r>
      <w:r w:rsidRPr="00976F0C">
        <w:rPr>
          <w:rFonts w:ascii="Arial" w:hAnsi="Arial" w:cs="Arial"/>
          <w:b/>
          <w:color w:val="4BACC6" w:themeColor="accent5"/>
          <w:sz w:val="24"/>
          <w:szCs w:val="24"/>
        </w:rPr>
        <w:t>-1</w:t>
      </w:r>
      <w:r w:rsidR="008478C1">
        <w:rPr>
          <w:rFonts w:ascii="Arial" w:hAnsi="Arial" w:cs="Arial"/>
          <w:b/>
          <w:color w:val="4BACC6" w:themeColor="accent5"/>
          <w:sz w:val="24"/>
          <w:szCs w:val="24"/>
        </w:rPr>
        <w:t xml:space="preserve"> PLATAFORMA</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debiendo remitir las constancias necesarias que acrediten el cabal cumplimiento a lo ordenado en la resolución dictada por este Órgano Colegiado, apercibido legalmente que en caso de no hacerlo se procederá en términos de lo establecido en los artículos 190 y 197 fracción XV de la Ley de Transparencia y Acceso a la Información Pública del Estado</w:t>
      </w:r>
      <w:r w:rsidRPr="00976F0C">
        <w:rPr>
          <w:rFonts w:ascii="Arial" w:hAnsi="Arial" w:cs="Arial"/>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1"/>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Default="008478C1" w:rsidP="00845E58">
      <w:pPr>
        <w:spacing w:after="0" w:line="240" w:lineRule="auto"/>
        <w:ind w:firstLine="709"/>
        <w:jc w:val="both"/>
        <w:rPr>
          <w:rFonts w:ascii="Arial" w:hAnsi="Arial" w:cs="Arial"/>
          <w:color w:val="4BACC6" w:themeColor="accent5"/>
          <w:sz w:val="16"/>
          <w:szCs w:val="16"/>
        </w:rPr>
      </w:pPr>
    </w:p>
    <w:p w:rsidR="008478C1" w:rsidRPr="00976F0C" w:rsidRDefault="008478C1" w:rsidP="00845E58">
      <w:pPr>
        <w:spacing w:after="0" w:line="240" w:lineRule="auto"/>
        <w:ind w:firstLine="709"/>
        <w:jc w:val="both"/>
        <w:rPr>
          <w:rFonts w:ascii="Arial" w:hAnsi="Arial" w:cs="Arial"/>
          <w:color w:val="4BACC6" w:themeColor="accent5"/>
          <w:sz w:val="16"/>
          <w:szCs w:val="16"/>
        </w:rPr>
      </w:pPr>
    </w:p>
    <w:p w:rsidR="00976F0C" w:rsidRPr="00976F0C" w:rsidRDefault="00D72000" w:rsidP="00845E58">
      <w:pPr>
        <w:spacing w:after="0" w:line="240" w:lineRule="auto"/>
        <w:ind w:firstLine="709"/>
        <w:jc w:val="both"/>
        <w:rPr>
          <w:rFonts w:ascii="Arial" w:hAnsi="Arial" w:cs="Arial"/>
          <w:color w:val="4BACC6" w:themeColor="accent5"/>
          <w:sz w:val="16"/>
          <w:szCs w:val="16"/>
        </w:rPr>
      </w:pPr>
      <w:r w:rsidRPr="00976F0C">
        <w:rPr>
          <w:rFonts w:ascii="Arial" w:hAnsi="Arial" w:cs="Arial"/>
          <w:color w:val="4BACC6" w:themeColor="accent5"/>
          <w:sz w:val="16"/>
          <w:szCs w:val="16"/>
        </w:rPr>
        <w:t>O</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R.E</w:t>
      </w:r>
      <w:r w:rsidR="00E32AE9" w:rsidRPr="00976F0C">
        <w:rPr>
          <w:rFonts w:ascii="Arial" w:hAnsi="Arial" w:cs="Arial"/>
          <w:color w:val="4BACC6" w:themeColor="accent5"/>
          <w:sz w:val="16"/>
          <w:szCs w:val="16"/>
        </w:rPr>
        <w:t>.</w:t>
      </w:r>
      <w:r w:rsidRPr="00976F0C">
        <w:rPr>
          <w:rFonts w:ascii="Arial" w:hAnsi="Arial" w:cs="Arial"/>
          <w:color w:val="4BACC6" w:themeColor="accent5"/>
          <w:sz w:val="16"/>
          <w:szCs w:val="16"/>
        </w:rPr>
        <w:t>J</w:t>
      </w:r>
      <w:r w:rsidR="00E32AE9" w:rsidRPr="00976F0C">
        <w:rPr>
          <w:rFonts w:ascii="Arial" w:hAnsi="Arial" w:cs="Arial"/>
          <w:color w:val="4BACC6" w:themeColor="accent5"/>
          <w:sz w:val="16"/>
          <w:szCs w:val="16"/>
        </w:rPr>
        <w:t>.</w:t>
      </w: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rPr>
          <w:rFonts w:ascii="Arial" w:hAnsi="Arial" w:cs="Arial"/>
          <w:color w:val="4BACC6" w:themeColor="accent5"/>
          <w:sz w:val="16"/>
          <w:szCs w:val="16"/>
        </w:rPr>
      </w:pPr>
    </w:p>
    <w:p w:rsidR="00976F0C" w:rsidRPr="00976F0C" w:rsidRDefault="00976F0C" w:rsidP="00976F0C">
      <w:pPr>
        <w:rPr>
          <w:rFonts w:ascii="Arial" w:hAnsi="Arial" w:cs="Arial"/>
          <w:color w:val="4BACC6" w:themeColor="accent5"/>
          <w:sz w:val="16"/>
          <w:szCs w:val="16"/>
        </w:rPr>
      </w:pPr>
    </w:p>
    <w:p w:rsidR="00E32AE9" w:rsidRPr="00976F0C" w:rsidRDefault="00976F0C" w:rsidP="00976F0C">
      <w:pPr>
        <w:tabs>
          <w:tab w:val="left" w:pos="900"/>
        </w:tabs>
        <w:rPr>
          <w:rFonts w:ascii="Arial" w:hAnsi="Arial" w:cs="Arial"/>
          <w:color w:val="4BACC6" w:themeColor="accent5"/>
          <w:sz w:val="16"/>
          <w:szCs w:val="16"/>
        </w:rPr>
      </w:pPr>
      <w:r w:rsidRPr="00976F0C">
        <w:rPr>
          <w:rFonts w:ascii="Arial" w:hAnsi="Arial" w:cs="Arial"/>
          <w:color w:val="4BACC6" w:themeColor="accent5"/>
          <w:sz w:val="16"/>
          <w:szCs w:val="16"/>
        </w:rPr>
        <w:tab/>
      </w: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rPr>
          <w:rFonts w:ascii="Arial" w:hAnsi="Arial" w:cs="Arial"/>
          <w:color w:val="4BACC6" w:themeColor="accent5"/>
          <w:sz w:val="16"/>
          <w:szCs w:val="16"/>
        </w:rPr>
      </w:pPr>
    </w:p>
    <w:p w:rsidR="00976F0C" w:rsidRPr="00976F0C" w:rsidRDefault="00976F0C" w:rsidP="00976F0C">
      <w:pPr>
        <w:tabs>
          <w:tab w:val="left" w:pos="900"/>
        </w:tabs>
        <w:jc w:val="both"/>
        <w:rPr>
          <w:rFonts w:ascii="Arial" w:hAnsi="Arial" w:cs="Arial"/>
          <w:color w:val="4BACC6" w:themeColor="accent5"/>
          <w:sz w:val="18"/>
          <w:szCs w:val="18"/>
        </w:rPr>
      </w:pPr>
      <w:r w:rsidRPr="00976F0C">
        <w:rPr>
          <w:rFonts w:ascii="Arial" w:hAnsi="Arial" w:cs="Arial"/>
          <w:color w:val="4BACC6" w:themeColor="accent5"/>
          <w:sz w:val="18"/>
          <w:szCs w:val="18"/>
        </w:rPr>
        <w:t>(Esta foja pertenece a la parte final del proveído de c</w:t>
      </w:r>
      <w:r w:rsidR="008478C1">
        <w:rPr>
          <w:rFonts w:ascii="Arial" w:hAnsi="Arial" w:cs="Arial"/>
          <w:color w:val="4BACC6" w:themeColor="accent5"/>
          <w:sz w:val="18"/>
          <w:szCs w:val="18"/>
        </w:rPr>
        <w:t>inco</w:t>
      </w:r>
      <w:r w:rsidRPr="00976F0C">
        <w:rPr>
          <w:rFonts w:ascii="Arial" w:hAnsi="Arial" w:cs="Arial"/>
          <w:color w:val="4BACC6" w:themeColor="accent5"/>
          <w:sz w:val="18"/>
          <w:szCs w:val="18"/>
        </w:rPr>
        <w:t xml:space="preserve"> de enero de dos mil dieciocho, dentro del recurso de revisión </w:t>
      </w:r>
      <w:r w:rsidR="008478C1">
        <w:rPr>
          <w:rFonts w:ascii="Arial" w:hAnsi="Arial" w:cs="Arial"/>
          <w:color w:val="4BACC6" w:themeColor="accent5"/>
          <w:sz w:val="18"/>
          <w:szCs w:val="18"/>
        </w:rPr>
        <w:t>196</w:t>
      </w:r>
      <w:r w:rsidRPr="00976F0C">
        <w:rPr>
          <w:rFonts w:ascii="Arial" w:hAnsi="Arial" w:cs="Arial"/>
          <w:color w:val="4BACC6" w:themeColor="accent5"/>
          <w:sz w:val="18"/>
          <w:szCs w:val="18"/>
        </w:rPr>
        <w:t>/201</w:t>
      </w:r>
      <w:r w:rsidR="008478C1">
        <w:rPr>
          <w:rFonts w:ascii="Arial" w:hAnsi="Arial" w:cs="Arial"/>
          <w:color w:val="4BACC6" w:themeColor="accent5"/>
          <w:sz w:val="18"/>
          <w:szCs w:val="18"/>
        </w:rPr>
        <w:t>7</w:t>
      </w:r>
      <w:r w:rsidRPr="00976F0C">
        <w:rPr>
          <w:rFonts w:ascii="Arial" w:hAnsi="Arial" w:cs="Arial"/>
          <w:color w:val="4BACC6" w:themeColor="accent5"/>
          <w:sz w:val="18"/>
          <w:szCs w:val="18"/>
        </w:rPr>
        <w:t>-1 PLATAFORMA).</w:t>
      </w:r>
    </w:p>
    <w:sectPr w:rsidR="00976F0C" w:rsidRPr="00976F0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680F" w:rsidRDefault="003B680F" w:rsidP="00A04BCB">
      <w:pPr>
        <w:spacing w:after="0" w:line="240" w:lineRule="auto"/>
      </w:pPr>
      <w:r>
        <w:separator/>
      </w:r>
    </w:p>
  </w:endnote>
  <w:endnote w:type="continuationSeparator" w:id="0">
    <w:p w:rsidR="003B680F" w:rsidRDefault="003B680F"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680F" w:rsidRDefault="003B680F" w:rsidP="00A04BCB">
      <w:pPr>
        <w:spacing w:after="0" w:line="240" w:lineRule="auto"/>
      </w:pPr>
      <w:r>
        <w:separator/>
      </w:r>
    </w:p>
  </w:footnote>
  <w:footnote w:type="continuationSeparator" w:id="0">
    <w:p w:rsidR="003B680F" w:rsidRDefault="003B680F"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C0225E">
      <w:rPr>
        <w:rFonts w:ascii="Arial" w:hAnsi="Arial" w:cs="Arial"/>
        <w:b/>
      </w:rPr>
      <w:t>196</w:t>
    </w:r>
    <w:r>
      <w:rPr>
        <w:rFonts w:ascii="Arial" w:hAnsi="Arial" w:cs="Arial"/>
        <w:b/>
      </w:rPr>
      <w:t>/201</w:t>
    </w:r>
    <w:r w:rsidR="00C0225E">
      <w:rPr>
        <w:rFonts w:ascii="Arial" w:hAnsi="Arial" w:cs="Arial"/>
        <w:b/>
      </w:rPr>
      <w:t>7</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32B9"/>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5655D"/>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B680F"/>
    <w:rsid w:val="003E3238"/>
    <w:rsid w:val="00402BE9"/>
    <w:rsid w:val="00404705"/>
    <w:rsid w:val="0041021C"/>
    <w:rsid w:val="00426890"/>
    <w:rsid w:val="00427953"/>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45E58"/>
    <w:rsid w:val="008478C1"/>
    <w:rsid w:val="00850170"/>
    <w:rsid w:val="00852028"/>
    <w:rsid w:val="0085470E"/>
    <w:rsid w:val="00874C83"/>
    <w:rsid w:val="0088125B"/>
    <w:rsid w:val="00897B0C"/>
    <w:rsid w:val="008A4B28"/>
    <w:rsid w:val="008A6B41"/>
    <w:rsid w:val="008B15BA"/>
    <w:rsid w:val="008C22E2"/>
    <w:rsid w:val="008D0A3C"/>
    <w:rsid w:val="008F388A"/>
    <w:rsid w:val="008F6149"/>
    <w:rsid w:val="009039C8"/>
    <w:rsid w:val="00906B75"/>
    <w:rsid w:val="009124C4"/>
    <w:rsid w:val="00922275"/>
    <w:rsid w:val="0092572B"/>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B031B"/>
    <w:rsid w:val="00C0019F"/>
    <w:rsid w:val="00C0023E"/>
    <w:rsid w:val="00C003C0"/>
    <w:rsid w:val="00C0225E"/>
    <w:rsid w:val="00C07D4B"/>
    <w:rsid w:val="00C16EC4"/>
    <w:rsid w:val="00C23535"/>
    <w:rsid w:val="00C257BC"/>
    <w:rsid w:val="00C37176"/>
    <w:rsid w:val="00C42933"/>
    <w:rsid w:val="00C66E3D"/>
    <w:rsid w:val="00C70A3F"/>
    <w:rsid w:val="00C73D19"/>
    <w:rsid w:val="00C7664A"/>
    <w:rsid w:val="00C86357"/>
    <w:rsid w:val="00C96DC3"/>
    <w:rsid w:val="00CC57CD"/>
    <w:rsid w:val="00CE6391"/>
    <w:rsid w:val="00D05A2B"/>
    <w:rsid w:val="00D078E6"/>
    <w:rsid w:val="00D11CA5"/>
    <w:rsid w:val="00D13645"/>
    <w:rsid w:val="00D21862"/>
    <w:rsid w:val="00D315CC"/>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A8"/>
    <w:rsid w:val="00E135D9"/>
    <w:rsid w:val="00E15E88"/>
    <w:rsid w:val="00E32AE9"/>
    <w:rsid w:val="00E43715"/>
    <w:rsid w:val="00E4433C"/>
    <w:rsid w:val="00E4590E"/>
    <w:rsid w:val="00E51C51"/>
    <w:rsid w:val="00E621C8"/>
    <w:rsid w:val="00E66DB6"/>
    <w:rsid w:val="00E828C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46388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FA6BE-30FD-4839-A6A8-EF6F56AE2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910</Words>
  <Characters>5009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2017-12-21T17:11:00Z</cp:lastPrinted>
  <dcterms:created xsi:type="dcterms:W3CDTF">2018-02-09T18:48:00Z</dcterms:created>
  <dcterms:modified xsi:type="dcterms:W3CDTF">2018-02-09T18:48:00Z</dcterms:modified>
</cp:coreProperties>
</file>